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DC7D">
      <w:pPr>
        <w:spacing w:line="288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78782E26">
      <w:pPr>
        <w:spacing w:line="288" w:lineRule="auto"/>
        <w:jc w:val="center"/>
        <w:rPr>
          <w:rFonts w:eastAsia="方正小标宋简体"/>
          <w:sz w:val="32"/>
          <w:szCs w:val="32"/>
        </w:rPr>
      </w:pPr>
    </w:p>
    <w:p w14:paraId="2A2F5E56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日程安排表</w:t>
      </w:r>
    </w:p>
    <w:tbl>
      <w:tblPr>
        <w:tblStyle w:val="3"/>
        <w:tblW w:w="5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39"/>
        <w:gridCol w:w="7391"/>
      </w:tblGrid>
      <w:tr w14:paraId="6558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Header/>
          <w:jc w:val="center"/>
        </w:trPr>
        <w:tc>
          <w:tcPr>
            <w:tcW w:w="432" w:type="pct"/>
            <w:tcMar>
              <w:left w:w="84" w:type="dxa"/>
              <w:right w:w="84" w:type="dxa"/>
            </w:tcMar>
            <w:vAlign w:val="center"/>
          </w:tcPr>
          <w:p w14:paraId="7642C22F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7A208712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698" w:type="pct"/>
            <w:tcMar>
              <w:left w:w="84" w:type="dxa"/>
              <w:right w:w="84" w:type="dxa"/>
            </w:tcMar>
            <w:vAlign w:val="center"/>
          </w:tcPr>
          <w:p w14:paraId="4CEAC36F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日程安排</w:t>
            </w:r>
          </w:p>
        </w:tc>
      </w:tr>
      <w:tr w14:paraId="3025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432" w:type="pct"/>
            <w:tcMar>
              <w:left w:w="84" w:type="dxa"/>
              <w:right w:w="84" w:type="dxa"/>
            </w:tcMar>
            <w:vAlign w:val="center"/>
          </w:tcPr>
          <w:p w14:paraId="0BE51C9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18日</w:t>
            </w: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6F87999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全天</w:t>
            </w:r>
          </w:p>
        </w:tc>
        <w:tc>
          <w:tcPr>
            <w:tcW w:w="3698" w:type="pct"/>
            <w:tcMar>
              <w:left w:w="84" w:type="dxa"/>
              <w:right w:w="84" w:type="dxa"/>
            </w:tcMar>
            <w:vAlign w:val="center"/>
          </w:tcPr>
          <w:p w14:paraId="401CE91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培训报到</w:t>
            </w:r>
          </w:p>
        </w:tc>
      </w:tr>
      <w:tr w14:paraId="1310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432" w:type="pct"/>
            <w:tcMar>
              <w:left w:w="84" w:type="dxa"/>
              <w:right w:w="84" w:type="dxa"/>
            </w:tcMar>
            <w:vAlign w:val="center"/>
          </w:tcPr>
          <w:p w14:paraId="372F3E72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4B49A6E5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8:30 -11:30</w:t>
            </w:r>
          </w:p>
          <w:p w14:paraId="5D764E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14:00-17:00</w:t>
            </w:r>
          </w:p>
        </w:tc>
        <w:tc>
          <w:tcPr>
            <w:tcW w:w="3698" w:type="pct"/>
            <w:vMerge w:val="restart"/>
            <w:tcMar>
              <w:left w:w="84" w:type="dxa"/>
              <w:right w:w="84" w:type="dxa"/>
            </w:tcMar>
            <w:vAlign w:val="center"/>
          </w:tcPr>
          <w:p w14:paraId="12E5A840">
            <w:pPr>
              <w:adjustRightInd w:val="0"/>
              <w:snapToGrid w:val="0"/>
              <w:spacing w:before="20"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（一）模块一：工程总承包市场开发与投标报价</w:t>
            </w:r>
          </w:p>
          <w:p w14:paraId="0F7458A6">
            <w:pPr>
              <w:adjustRightInd w:val="0"/>
              <w:snapToGrid w:val="0"/>
              <w:spacing w:before="20"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有关政策解读；市场营销重点；商务策划重点；投标报价阶段主要工作；合同关键内容风险管理及纠纷处理；《房屋建筑和市政基础设施项目工程总承包管理办法》解读。</w:t>
            </w:r>
          </w:p>
          <w:p w14:paraId="7D799106">
            <w:pPr>
              <w:adjustRightInd w:val="0"/>
              <w:snapToGrid w:val="0"/>
              <w:spacing w:before="20"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（二）模块二：工程总承包项目的结算与审计配合</w:t>
            </w:r>
          </w:p>
          <w:p w14:paraId="3BBD8047">
            <w:pPr>
              <w:adjustRightInd w:val="0"/>
              <w:snapToGrid w:val="0"/>
              <w:spacing w:before="20"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《建设项目工程总承包计价规范》主要条款解读；项目结算与审计的依据及注意事项；EPC项目的结算与计量；有关案例分析。</w:t>
            </w:r>
          </w:p>
          <w:p w14:paraId="5C42E0CD">
            <w:pPr>
              <w:adjustRightInd w:val="0"/>
              <w:snapToGrid w:val="0"/>
              <w:spacing w:before="20"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（三）模块三：工程总承包项目管理策划</w:t>
            </w:r>
          </w:p>
          <w:p w14:paraId="0488E6F3">
            <w:pPr>
              <w:adjustRightInd w:val="0"/>
              <w:snapToGrid w:val="0"/>
              <w:spacing w:before="20"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总承包策划工作的要求；项目实施阶段的策划内容及重点；项目管理策划书的内容及编制要点；EPC业务的管理模式与生产组织形式创新成果分享；单一设计项目与工程总承包模式下的设计及设计管理差异；有关案例分析。</w:t>
            </w:r>
          </w:p>
        </w:tc>
      </w:tr>
      <w:tr w14:paraId="5E37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432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1E0A44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20日</w:t>
            </w:r>
          </w:p>
        </w:tc>
        <w:tc>
          <w:tcPr>
            <w:tcW w:w="870" w:type="pct"/>
            <w:tcBorders>
              <w:bottom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41BFF568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8:30 -11:30</w:t>
            </w:r>
          </w:p>
          <w:p w14:paraId="67F99E7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14:00-17:00</w:t>
            </w:r>
          </w:p>
        </w:tc>
        <w:tc>
          <w:tcPr>
            <w:tcW w:w="3698" w:type="pct"/>
            <w:vMerge w:val="continue"/>
            <w:tcBorders>
              <w:bottom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 w14:paraId="510C4174">
            <w:pPr>
              <w:spacing w:line="440" w:lineRule="exact"/>
              <w:ind w:firstLine="1400" w:firstLineChars="500"/>
              <w:rPr>
                <w:rFonts w:eastAsia="仿宋_GB2312"/>
                <w:sz w:val="28"/>
                <w:szCs w:val="28"/>
              </w:rPr>
            </w:pPr>
          </w:p>
        </w:tc>
      </w:tr>
      <w:tr w14:paraId="17BB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exact"/>
          <w:jc w:val="center"/>
        </w:trPr>
        <w:tc>
          <w:tcPr>
            <w:tcW w:w="432" w:type="pct"/>
            <w:vMerge w:val="restart"/>
            <w:shd w:val="clear" w:color="auto" w:fill="FFFFFF"/>
            <w:vAlign w:val="center"/>
          </w:tcPr>
          <w:p w14:paraId="71661070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2F5925F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8:30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-11:30</w:t>
            </w:r>
          </w:p>
        </w:tc>
        <w:tc>
          <w:tcPr>
            <w:tcW w:w="3698" w:type="pct"/>
            <w:tcMar>
              <w:left w:w="84" w:type="dxa"/>
              <w:right w:w="84" w:type="dxa"/>
            </w:tcMar>
            <w:vAlign w:val="center"/>
          </w:tcPr>
          <w:p w14:paraId="57881788">
            <w:pPr>
              <w:adjustRightInd w:val="0"/>
              <w:snapToGrid w:val="0"/>
              <w:spacing w:before="20"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（四）模块四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工程总承包合同管理与风险防范</w:t>
            </w:r>
          </w:p>
          <w:p w14:paraId="1AFBAA2E">
            <w:pPr>
              <w:adjustRightInd w:val="0"/>
              <w:snapToGrid w:val="0"/>
              <w:spacing w:before="20"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牵头EPC总承包项目联合体的风险管理和控制；相关关键法律法规解读；工程总承包合同签订、变更、索赔等关键风险管理及纠纷处理；工程总承包国际工程法律风险防范；工程总承包项目管理的痛点和应对策略；有关案例分析。</w:t>
            </w:r>
          </w:p>
          <w:p w14:paraId="0AC737FB"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 w14:paraId="48CC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432" w:type="pct"/>
            <w:vMerge w:val="continue"/>
            <w:shd w:val="clear" w:color="auto" w:fill="FFFFFF"/>
            <w:vAlign w:val="center"/>
          </w:tcPr>
          <w:p w14:paraId="378CE873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33BE621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14:00-17:00</w:t>
            </w:r>
          </w:p>
        </w:tc>
        <w:tc>
          <w:tcPr>
            <w:tcW w:w="3698" w:type="pct"/>
            <w:tcMar>
              <w:left w:w="84" w:type="dxa"/>
              <w:right w:w="84" w:type="dxa"/>
            </w:tcMar>
            <w:vAlign w:val="center"/>
          </w:tcPr>
          <w:p w14:paraId="70B7E2F3">
            <w:pPr>
              <w:adjustRightInd w:val="0"/>
              <w:snapToGrid w:val="0"/>
              <w:spacing w:before="20"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（五）模块五：工程总承包项目管理过程控制</w:t>
            </w:r>
          </w:p>
          <w:p w14:paraId="29C6C050">
            <w:pPr>
              <w:adjustRightInd w:val="0"/>
              <w:snapToGrid w:val="0"/>
              <w:spacing w:before="20" w:line="360" w:lineRule="exact"/>
              <w:ind w:firstLine="56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的管理与控制；设计变更管理；设计、采购与施工一体化管理实践；项目进度控制；成本管理与控制；以设计为龙头的EPC总承包项目施工现场管理的界面、责任和义务；项目施工执行计划；分包计划；分包商管理；施工质量管理与控制；施工HSE管理；现场签证管理；EPC数据管理中心建设及数字化应用；有关案例分析。</w:t>
            </w:r>
          </w:p>
        </w:tc>
      </w:tr>
      <w:tr w14:paraId="4B75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432" w:type="pct"/>
            <w:shd w:val="clear" w:color="auto" w:fill="FFFFFF"/>
            <w:vAlign w:val="center"/>
          </w:tcPr>
          <w:p w14:paraId="496D95F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22日</w:t>
            </w:r>
          </w:p>
        </w:tc>
        <w:tc>
          <w:tcPr>
            <w:tcW w:w="870" w:type="pct"/>
            <w:tcMar>
              <w:left w:w="84" w:type="dxa"/>
              <w:right w:w="84" w:type="dxa"/>
            </w:tcMar>
            <w:vAlign w:val="center"/>
          </w:tcPr>
          <w:p w14:paraId="0C1E24C2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全天</w:t>
            </w:r>
          </w:p>
        </w:tc>
        <w:tc>
          <w:tcPr>
            <w:tcW w:w="3698" w:type="pct"/>
            <w:tcMar>
              <w:left w:w="84" w:type="dxa"/>
              <w:right w:w="84" w:type="dxa"/>
            </w:tcMar>
            <w:vAlign w:val="center"/>
          </w:tcPr>
          <w:p w14:paraId="7B74D0A8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返程</w:t>
            </w:r>
          </w:p>
        </w:tc>
      </w:tr>
    </w:tbl>
    <w:p w14:paraId="0D9D1FB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743253"/>
    </w:sdtPr>
    <w:sdtContent>
      <w:p w14:paraId="269252C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7F83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04F82978"/>
    <w:rsid w:val="04F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2024-08-16T06:59:00Z</dcterms:created>
  <dc:creator>七色花语</dc:creator>
  <cp:lastModifiedBy>七色花语</cp:lastModifiedBy>
  <dcterms:modified xsi:type="dcterms:W3CDTF">2024-08-16T07:00:07Z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792354BCD4344A4F9B912CEFB39EF872_11</vt:lpwstr>
  </property>
</Properties>
</file>